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72"/>
          <w:szCs w:val="72"/>
          <w:u w:val="none"/>
          <w:shd w:fill="auto" w:val="clear"/>
          <w:vertAlign w:val="baseline"/>
          <w:rtl w:val="0"/>
        </w:rPr>
        <w:t xml:space="preserve">осорц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  <w:rtl w:val="0"/>
        </w:rPr>
        <w:t xml:space="preserve"> –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  <w:rtl w:val="0"/>
        </w:rPr>
        <w:t xml:space="preserve">Оздоровительный социально – образовательный реабилитационный центр для детей с психоневрологическими отклонениями в развитии, не посещающих детские образовательные учреждения.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52"/>
          <w:szCs w:val="52"/>
          <w:u w:val="none"/>
          <w:shd w:fill="auto" w:val="clear"/>
          <w:vertAlign w:val="baseline"/>
          <w:rtl w:val="0"/>
        </w:rPr>
        <w:t xml:space="preserve">Социальная служба «Мобильная бригада»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была создана при поддержке Европейского Союза в рамках проекта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„Социальные услуги, оказываемые людям с ограниченными возможностями для поддержания мер по укреплению доверия между обоими берегами Днестра”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. Проект реализуется Ассоциацией Keystone Moldova в партнерстве с Базовым Центром по Реабилитации и Консультированию «ОСОРЦ» и Альянсом Организаций для Людей с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Ограниченными Возможностями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 и со-финансируется IM Swedish Development Partner.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72"/>
          <w:szCs w:val="72"/>
          <w:u w:val="none"/>
          <w:shd w:fill="auto" w:val="clear"/>
          <w:vertAlign w:val="baseline"/>
          <w:rtl w:val="0"/>
        </w:rPr>
        <w:t xml:space="preserve">как нас найти: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65088</wp:posOffset>
                </wp:positionV>
                <wp:extent cx="2638425" cy="378142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031550" y="1894050"/>
                          <a:ext cx="2628900" cy="377190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31807"/>
                                <a:pt x="28013" y="8220"/>
                                <a:pt x="54909" y="5485"/>
                              </a:cubicBezTo>
                              <a:cubicBezTo>
                                <a:pt x="81804" y="2751"/>
                                <a:pt x="106296" y="21764"/>
                                <a:pt x="111512" y="49426"/>
                              </a:cubicBezTo>
                              <a:lnTo>
                                <a:pt x="118963" y="49426"/>
                              </a:lnTo>
                              <a:lnTo>
                                <a:pt x="105000" y="60000"/>
                              </a:lnTo>
                              <a:lnTo>
                                <a:pt x="88963" y="49426"/>
                              </a:lnTo>
                              <a:lnTo>
                                <a:pt x="96417" y="49426"/>
                              </a:lnTo>
                              <a:cubicBezTo>
                                <a:pt x="91892" y="27657"/>
                                <a:pt x="74324" y="13309"/>
                                <a:pt x="55494" y="16003"/>
                              </a:cubicBezTo>
                              <a:cubicBezTo>
                                <a:pt x="36663" y="18697"/>
                                <a:pt x="22500" y="37583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EBB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Молдова, город Тирасполь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Почтовый индекс MD 3300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Ул.К.Либкнехта 144а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НП БЦРиК ОСОЦ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65088</wp:posOffset>
                </wp:positionV>
                <wp:extent cx="2638425" cy="3781425"/>
                <wp:effectExtent b="0" l="0" r="0" t="0"/>
                <wp:wrapNone/>
                <wp:docPr id="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3781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3610292</wp:posOffset>
                </wp:positionH>
                <wp:positionV relativeFrom="paragraph">
                  <wp:posOffset>133033</wp:posOffset>
                </wp:positionV>
                <wp:extent cx="2657475" cy="685800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022025" y="3441863"/>
                          <a:ext cx="2647950" cy="6762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3610292</wp:posOffset>
                </wp:positionH>
                <wp:positionV relativeFrom="paragraph">
                  <wp:posOffset>133033</wp:posOffset>
                </wp:positionV>
                <wp:extent cx="2657475" cy="685800"/>
                <wp:effectExtent b="0" l="0" r="0" t="0"/>
                <wp:wrapSquare wrapText="bothSides" distB="0" distT="0" distL="114300" distR="114300"/>
                <wp:docPr id="2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7475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  <w:rtl w:val="0"/>
        </w:rPr>
        <w:t xml:space="preserve">   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66993</wp:posOffset>
                </wp:positionV>
                <wp:extent cx="466725" cy="4667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117400" y="3551400"/>
                          <a:ext cx="457200" cy="45720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33869"/>
                                <a:pt x="26717" y="11716"/>
                                <a:pt x="52586" y="8026"/>
                              </a:cubicBezTo>
                              <a:cubicBezTo>
                                <a:pt x="78455" y="4336"/>
                                <a:pt x="103100" y="20232"/>
                                <a:pt x="110406" y="45321"/>
                              </a:cubicBezTo>
                              <a:lnTo>
                                <a:pt x="117538" y="45321"/>
                              </a:lnTo>
                              <a:lnTo>
                                <a:pt x="105000" y="60000"/>
                              </a:lnTo>
                              <a:lnTo>
                                <a:pt x="87538" y="45321"/>
                              </a:lnTo>
                              <a:lnTo>
                                <a:pt x="94508" y="45321"/>
                              </a:lnTo>
                              <a:cubicBezTo>
                                <a:pt x="87531" y="28920"/>
                                <a:pt x="69974" y="19696"/>
                                <a:pt x="52509" y="23256"/>
                              </a:cubicBezTo>
                              <a:cubicBezTo>
                                <a:pt x="35045" y="26816"/>
                                <a:pt x="22500" y="42177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CC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66993</wp:posOffset>
                </wp:positionV>
                <wp:extent cx="466725" cy="466725"/>
                <wp:effectExtent b="0" l="0" r="0" t="0"/>
                <wp:wrapNone/>
                <wp:docPr id="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  <w:rtl w:val="0"/>
        </w:rPr>
        <w:t xml:space="preserve">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  <w:rtl w:val="0"/>
        </w:rPr>
        <w:t xml:space="preserve">Телефон (+ 373 533) 85500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  <w:rtl w:val="0"/>
        </w:rPr>
        <w:t xml:space="preserve">             Электронная почта: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25083</wp:posOffset>
                </wp:positionV>
                <wp:extent cx="466725" cy="46672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17400" y="3551400"/>
                          <a:ext cx="457200" cy="45720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33869"/>
                                <a:pt x="26717" y="11716"/>
                                <a:pt x="52586" y="8026"/>
                              </a:cubicBezTo>
                              <a:cubicBezTo>
                                <a:pt x="78455" y="4336"/>
                                <a:pt x="103100" y="20232"/>
                                <a:pt x="110406" y="45321"/>
                              </a:cubicBezTo>
                              <a:lnTo>
                                <a:pt x="117538" y="45321"/>
                              </a:lnTo>
                              <a:lnTo>
                                <a:pt x="105000" y="60000"/>
                              </a:lnTo>
                              <a:lnTo>
                                <a:pt x="87538" y="45321"/>
                              </a:lnTo>
                              <a:lnTo>
                                <a:pt x="94508" y="45321"/>
                              </a:lnTo>
                              <a:cubicBezTo>
                                <a:pt x="87531" y="28920"/>
                                <a:pt x="69974" y="19696"/>
                                <a:pt x="52509" y="23256"/>
                              </a:cubicBezTo>
                              <a:cubicBezTo>
                                <a:pt x="35045" y="26816"/>
                                <a:pt x="22500" y="42177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25083</wp:posOffset>
                </wp:positionV>
                <wp:extent cx="466725" cy="466725"/>
                <wp:effectExtent b="0" l="0" r="0" t="0"/>
                <wp:wrapNone/>
                <wp:docPr id="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  <w:rtl w:val="0"/>
        </w:rPr>
        <w:t xml:space="preserve">              osorc@mail.ru                                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497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Некоммерческое партнерство               «Базовый Центр Реабилитации и   Консультирования ОСОРЦ»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134938</wp:posOffset>
                </wp:positionH>
                <wp:positionV relativeFrom="paragraph">
                  <wp:posOffset>140018</wp:posOffset>
                </wp:positionV>
                <wp:extent cx="2647950" cy="64770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26788" y="3460913"/>
                          <a:ext cx="2638425" cy="63817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134938</wp:posOffset>
                </wp:positionH>
                <wp:positionV relativeFrom="paragraph">
                  <wp:posOffset>140018</wp:posOffset>
                </wp:positionV>
                <wp:extent cx="2647950" cy="647700"/>
                <wp:effectExtent b="0" l="0" r="0" t="0"/>
                <wp:wrapSquare wrapText="bothSides" distB="0" distT="0" distL="114300" distR="114300"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47950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2355850" cy="1649730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1649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56"/>
          <w:szCs w:val="56"/>
          <w:u w:val="none"/>
          <w:shd w:fill="auto" w:val="clear"/>
          <w:vertAlign w:val="baseline"/>
          <w:rtl w:val="0"/>
        </w:rPr>
        <w:t xml:space="preserve">Кто в нашей команде: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  <w:rtl w:val="0"/>
        </w:rPr>
        <w:t xml:space="preserve">Начальник мобильной бригады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971165" cy="3009265"/>
            <wp:effectExtent b="0" l="0" r="0" t="0"/>
            <wp:docPr id="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71165" cy="30092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Оказание поддержки людям с ограниченными возможностями и их семьям в обеспечении социальной интеграции;  Облегчение доступа к социальным, медицинским и образовательным услугам людям с ограниченными возможностями и их семьям, Развитие навыков самообслуживания людей с ограниченными возможностями; Мобилизация потенциала местных сообществ с целью социальной интеграции людей с ограниченными возможностями и реализации их прав;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Составление и систематизация документации, касающейся предоставления услуг благополучателям Службы социальным ассистентом Службы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  <w:rtl w:val="0"/>
        </w:rPr>
        <w:t xml:space="preserve">Специальный (корекционный) педагог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1076325" cy="1586865"/>
            <wp:effectExtent b="0" l="0" r="0" t="0"/>
            <wp:docPr id="7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5868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  <w:rtl w:val="0"/>
        </w:rPr>
        <w:t xml:space="preserve">        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 Оказывает педагогическое сопровождение детей с ОВЗ, развитие академических и общих навыков, развитие моторики, логомассаж,  и др.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В своей работе использует: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Принципы прикладного анализа поведения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Программу «Маленькие ступеньки развития»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Эрготерапию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Сенсорные игры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Логомассаж  и многое др.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705100" cy="1903730"/>
            <wp:effectExtent b="0" l="0" r="0" t="0"/>
            <wp:docPr descr="Ð¤Ð¾ÑÐ¾ Ð¦ÐµÐ½ÑÑ ÑÐ°Ð·Ð²Ð¸ÑÐ¸Ñ Ð¸ Ð¿Ð¾Ð´Ð´ÐµÑÐ¶ÐºÐ¸ Ð³ÑÐ°Ð¶Ð´Ð°Ð½ÑÐºÐ¸Ñ Ð¸Ð½Ð¸ÑÐ¸Ð°ÑÐ¸Ð² &quot;Ð ÐµÐ·Ð¾Ð½Ð°Ð½Ñ&quot;." id="10" name="image2.jpg"/>
            <a:graphic>
              <a:graphicData uri="http://schemas.openxmlformats.org/drawingml/2006/picture">
                <pic:pic>
                  <pic:nvPicPr>
                    <pic:cNvPr descr="Ð¤Ð¾ÑÐ¾ Ð¦ÐµÐ½ÑÑ ÑÐ°Ð·Ð²Ð¸ÑÐ¸Ñ Ð¸ Ð¿Ð¾Ð´Ð´ÐµÑÐ¶ÐºÐ¸ Ð³ÑÐ°Ð¶Ð´Ð°Ð½ÑÐºÐ¸Ñ Ð¸Ð½Ð¸ÑÐ¸Ð°ÑÐ¸Ð² &quot;Ð ÐµÐ·Ð¾Ð½Ð°Ð½Ñ&quot;."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9037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52"/>
          <w:szCs w:val="5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Оказывает психологическую и психотерапевтическую поддержку детям с ОВЗ и их родителям. Задачи, которые ставит психолог зависят от семьи. В целом работа психолога направлена на  стабилизацию эмоционального состояния и улучшению социального функционирования семьи.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  <w:rtl w:val="0"/>
        </w:rPr>
        <w:t xml:space="preserve">Кинетотерапевт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bbb59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826135" cy="1104900"/>
            <wp:effectExtent b="0" l="0" r="0" t="0"/>
            <wp:docPr id="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26135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f81bd"/>
          <w:sz w:val="28"/>
          <w:szCs w:val="28"/>
          <w:u w:val="none"/>
          <w:shd w:fill="auto" w:val="clear"/>
          <w:vertAlign w:val="baseline"/>
          <w:rtl w:val="0"/>
        </w:rPr>
        <w:t xml:space="preserve">В зависимости от диагноза, стратегия работы кинетотерапевта заключается в обучении двигательным навыкам, либо восстановление утраченных двигательных способностей 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40"/>
          <w:szCs w:val="40"/>
          <w:u w:val="none"/>
          <w:shd w:fill="auto" w:val="clear"/>
          <w:vertAlign w:val="baseline"/>
          <w:rtl w:val="0"/>
        </w:rPr>
        <w:t xml:space="preserve">              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426" w:top="567" w:left="567" w:right="567" w:header="709" w:footer="709"/>
      <w:pgNumType w:start="1"/>
      <w:cols w:equalWidth="0" w:num="3">
        <w:col w:space="708" w:w="4762.666666666666"/>
        <w:col w:space="708" w:w="4762.666666666666"/>
        <w:col w:space="0" w:w="4762.666666666666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jpg"/><Relationship Id="rId10" Type="http://schemas.openxmlformats.org/officeDocument/2006/relationships/image" Target="media/image2.jpg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image" Target="media/image8.png"/><Relationship Id="rId7" Type="http://schemas.openxmlformats.org/officeDocument/2006/relationships/image" Target="media/image1.jp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